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Courier New" w:cs="Courier New" w:eastAsia="Courier New" w:hAnsi="Courier New"/>
          <w:b w:val="1"/>
          <w:bCs w:val="1"/>
          <w:sz w:val="40"/>
          <w:szCs w:val="4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0"/>
          <w:szCs w:val="40"/>
          <w:rtl w:val="0"/>
        </w:rPr>
        <w:t xml:space="preserve">Data Breach &amp; Incident Response Policy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Balance and Build Support Ltd is committed to protecting personal data and responding promptly and effectively to any data breaches or incidents.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What is a Data Breach?</w:t>
        <w:br w:type="textWrapping"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 data breach is any incident where personal information is: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24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Lost, stolen, or accessed without authorisation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Shared incorrectly or with the wrong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Compromised in any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Our Responsibility</w:t>
        <w:br w:type="textWrapping"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All staff have a responsibility to: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4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Handle data carefully and securely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Report any concerns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Reporting a Breach</w:t>
        <w:br w:type="textWrapping"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Any suspected or actual data breach must be reported immediately to: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 Aldous - DPO -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saldous@balanceandbuildsupport.com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This includes: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Emails sent to the wrong recipient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Lost devices or paperwork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Unauthorised access to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Our Response</w:t>
        <w:br w:type="textWrapping"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We will: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24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Assess the risk and impact of the breach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Take immediate steps to contain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Record the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line="276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Notify relevant authorities where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Where necessary, we will report breaches to the Information Commissioner’s Office (ICO) within 72 hours.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Learning and Improvement</w:t>
        <w:br w:type="textWrapping"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Following any incident, we will review processes and take steps to prevent future occurrences.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We are committed to maintaining the highest standards of data protection and ensuring that all information is handled responsibly and securely.</w:t>
      </w:r>
    </w:p>
    <w:p w:rsidR="00000000" w:rsidDel="00000000" w:rsidP="00000000" w:rsidRDefault="00000000" w:rsidRPr="00000000" w14:paraId="0000001A">
      <w:pPr>
        <w:pStyle w:val="Heading3"/>
        <w:spacing w:after="120" w:before="0" w:line="275.9999942779541" w:lineRule="auto"/>
        <w:rPr>
          <w:rFonts w:ascii="Courier New" w:cs="Courier New" w:eastAsia="Courier New" w:hAnsi="Courier New"/>
          <w:color w:val="1f1f1f"/>
        </w:rPr>
      </w:pPr>
      <w:bookmarkStart w:colFirst="0" w:colLast="0" w:name="_nubpfylbilk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75.9999942779541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75.9999942779541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Name/Contact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275.9999942779541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5.9999942779541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Data Protection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5.9999942779541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S Aldous, Director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5.9999942779541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saldous@balanceandbuildsupport.com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after="120" w:before="480" w:line="275" w:lineRule="auto"/>
        <w:rPr>
          <w:rFonts w:ascii="Courier New" w:cs="Courier New" w:eastAsia="Courier New" w:hAnsi="Courier New"/>
          <w:color w:val="1f1f1f"/>
        </w:rPr>
      </w:pPr>
      <w:r w:rsidDel="00000000" w:rsidR="00000000" w:rsidRPr="00000000">
        <w:rPr>
          <w:rFonts w:ascii="Courier New" w:cs="Courier New" w:eastAsia="Courier New" w:hAnsi="Courier New"/>
          <w:color w:val="1f1f1f"/>
          <w:rtl w:val="0"/>
        </w:rPr>
        <w:t xml:space="preserve">Policy Review Log: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120" w:before="120" w:line="275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Date Review Carried 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75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Changes Made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75" w:lineRule="auto"/>
              <w:rPr>
                <w:rFonts w:ascii="Courier New" w:cs="Courier New" w:eastAsia="Courier New" w:hAnsi="Courier New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Manager’s 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spacing w:line="275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11/04/2026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line="275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Initial Draft Review.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line="275" w:lineRule="auto"/>
              <w:rPr>
                <w:rFonts w:ascii="Courier New" w:cs="Courier New" w:eastAsia="Courier New" w:hAnsi="Courier New"/>
                <w:color w:val="1f1f1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S Aldous</w:t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rPr>
          <w:rFonts w:ascii="Courier New" w:cs="Courier New" w:eastAsia="Courier New" w:hAnsi="Courier New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42740" cy="16335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2740" cy="1633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ldous@balanceandbuildsupport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