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Courier New" w:cs="Courier New" w:eastAsia="Courier New" w:hAnsi="Courier New"/>
          <w:b w:val="1"/>
          <w:bCs w:val="1"/>
          <w:sz w:val="34"/>
          <w:szCs w:val="34"/>
        </w:rPr>
      </w:pPr>
      <w:bookmarkStart w:colFirst="0" w:colLast="0" w:name="_m5qu0iaan5m3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4"/>
          <w:szCs w:val="34"/>
          <w:rtl w:val="0"/>
        </w:rPr>
        <w:t xml:space="preserve">Balance and Build Support Ltd: Children Missing in Education (CME) Policy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Designated Safeguarding Lead (DSL):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Cotier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q3vc10ch3d96" w:id="1"/>
      <w:bookmarkEnd w:id="1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1. Policy Statement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At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Balance and Build Support Ltd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our mission is to provide balanced educational support that builds a child’s confidence and academic standing. We recognize that for a child to thrive, they must be safely engaged in a suitable education.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While we are a supplementary or alternative education provider, we hold a professional responsibility to act as a safety net. This policy ensures that we identify, track, and report any child who may be missing from the formal education system, in accordance with the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DfE Statutory Guidance: Children Missing Education (2025/26)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c9xe7cm5oe6" w:id="2"/>
      <w:bookmarkEnd w:id="2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2. Identifying "At Risk" Students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Staff at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Balance and Build Support Ltd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are trained to be curious about a student’s wider educational context. We define a child as potentially "Missing in Education" if they are of compulsory school age and: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Are not on a school roll and are not receiving registered home education.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Have been out of education for 10 or more cumulative days without a confirmed new provision.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Fail to attend scheduled sessions with us, and we are unable to confirm their whereabouts with parents/carers.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8e0gv599kejs" w:id="3"/>
      <w:bookmarkEnd w:id="3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3. Procedures for Identification and Reporting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</w:rPr>
      </w:pPr>
      <w:bookmarkStart w:colFirst="0" w:colLast="0" w:name="_ujs7361brlgv" w:id="4"/>
      <w:bookmarkEnd w:id="4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  <w:rtl w:val="0"/>
        </w:rPr>
        <w:t xml:space="preserve">A. Data Collection at Enrollment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During the onboarding of any new student,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Balance and Build Support Ltd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will record: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name of the child’s current school or "EHE" (Elective Home Education) status.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name and contact details of the parent/carer.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Any history of frequent school moves or periods out of education.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</w:rPr>
      </w:pPr>
      <w:bookmarkStart w:colFirst="0" w:colLast="0" w:name="_qbxsfpu4trkk" w:id="5"/>
      <w:bookmarkEnd w:id="5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  <w:rtl w:val="0"/>
        </w:rPr>
        <w:t xml:space="preserve">B. The "Reasonable Enquiry" Process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If a student stops attending sessions or a tutor becomes concerned about the child's school status: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Day 1-3: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The Tutor will contact the parent to offer support and check attendance status.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Day 4-9: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If no contact is made, the DSL will attempt a formal follow-up via phone and email.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Day 10: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If the child’s educational status remains unconfirmed or they are missing from their known school, the DSL will submit a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CME Referral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to the relevant Local Authority.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k6wp54phzz1" w:id="6"/>
      <w:bookmarkEnd w:id="6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4. Collaboration with Local Authorities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Balance and Build Support Ltd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recognizes the Local Authority’s (LA) legal duty to identify CME. We will: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Notify the LA if we are providing a substantial amount of tuition to a child who does not have a school place.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Share attendance data with the LA when requested for safeguarding audits.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Respond promptly to "Missing Child" alerts sent out by local safeguarding partners.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dmpdq8fp20i9" w:id="7"/>
      <w:bookmarkEnd w:id="7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5. Training and Awareness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All tutors representing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Balance and Build Support Ltd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must complete annual safeguarding training which includes a module on CME. Tutors are taught that "Missing in Education" is often a precursor to other safeguarding risks, such as exploitation or neglect.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widowControl w:val="0"/>
        <w:spacing w:before="480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6"/>
          <w:szCs w:val="36"/>
          <w:rtl w:val="0"/>
        </w:rPr>
        <w:t xml:space="preserve">Policy Review Log:</w:t>
      </w:r>
      <w:r w:rsidDel="00000000" w:rsidR="00000000" w:rsidRPr="00000000">
        <w:rPr>
          <w:rtl w:val="0"/>
        </w:rPr>
      </w:r>
    </w:p>
    <w:tbl>
      <w:tblPr>
        <w:tblStyle w:val="Table1"/>
        <w:tblW w:w="8739.0" w:type="dxa"/>
        <w:jc w:val="left"/>
        <w:tblLayout w:type="fixed"/>
        <w:tblLook w:val="0400"/>
      </w:tblPr>
      <w:tblGrid>
        <w:gridCol w:w="3397"/>
        <w:gridCol w:w="3133"/>
        <w:gridCol w:w="2209"/>
        <w:tblGridChange w:id="0">
          <w:tblGrid>
            <w:gridCol w:w="3397"/>
            <w:gridCol w:w="3133"/>
            <w:gridCol w:w="2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Date Review Carried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Changes Made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Manager’s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18/04/2026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Initial Draft Review.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S Aldous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keepNext w:val="0"/>
        <w:keepLines w:val="0"/>
        <w:widowControl w:val="0"/>
        <w:spacing w:before="0" w:line="275" w:lineRule="auto"/>
        <w:rPr>
          <w:rFonts w:ascii="Courier New" w:cs="Courier New" w:eastAsia="Courier New" w:hAnsi="Courier New"/>
        </w:rPr>
      </w:pPr>
      <w:bookmarkStart w:colFirst="0" w:colLast="0" w:name="_rqh69lxkexw1" w:id="8"/>
      <w:bookmarkEnd w:id="8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31479" cy="1147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479" cy="1147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