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0" w:line="275" w:lineRule="auto"/>
        <w:rPr>
          <w:rFonts w:ascii="Courier New" w:cs="Courier New" w:eastAsia="Courier New" w:hAnsi="Courier New"/>
          <w:color w:val="1f1f1f"/>
          <w:sz w:val="40"/>
          <w:szCs w:val="4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40"/>
          <w:szCs w:val="40"/>
          <w:rtl w:val="0"/>
        </w:rPr>
        <w:t xml:space="preserve">Individual Risk Assessment Policy &amp; Framework</w:t>
      </w:r>
      <w:r w:rsidDel="00000000" w:rsidR="00000000" w:rsidRPr="00000000">
        <w:rPr>
          <w:rFonts w:ascii="Courier New" w:cs="Courier New" w:eastAsia="Courier New" w:hAnsi="Courier New"/>
          <w:color w:val="1f1f1f"/>
          <w:sz w:val="40"/>
          <w:szCs w:val="40"/>
          <w:rtl w:val="0"/>
        </w:rPr>
        <w:t xml:space="preserve">: Balance and Build Support</w:t>
      </w:r>
    </w:p>
    <w:p w:rsidR="00000000" w:rsidDel="00000000" w:rsidP="00000000" w:rsidRDefault="00000000" w:rsidRPr="00000000" w14:paraId="00000002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and Build Support Ltd is committed to ensuring the safety and wellbeing of all children, young people, and staff.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outlines how we assess, manage, and reduce risks when working with learners, particularly those with Social, Emotional and Mental Health (SEMH) needs.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should be read alongside our Safeguarding Policy and aligns with: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Keeping Children Safe in Education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Health and Safety legislation</w:t>
      </w:r>
    </w:p>
    <w:p w:rsidR="00000000" w:rsidDel="00000000" w:rsidP="00000000" w:rsidRDefault="00000000" w:rsidRPr="00000000" w14:paraId="00000008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2. Scope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applies to: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All staff and tutors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All children and young people accessing our services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All settings (home, school, community, online environments)</w:t>
      </w:r>
    </w:p>
    <w:p w:rsidR="00000000" w:rsidDel="00000000" w:rsidP="00000000" w:rsidRDefault="00000000" w:rsidRPr="00000000" w14:paraId="0000000D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3. Key Principles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approach is: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Proactive, not reactive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Individualised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to each learner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Trauma-informed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(understanding behaviour as communication)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Dynamic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(regularly reviewed and updated)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3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Focused on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prevention, de-escalation and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4. When a Risk Assessment is Required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Individual Risk Assessment must be completed: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4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Before starting work with a new learner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4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When there is known SEMH need or behavioural risk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4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For home or community-based tutoring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4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Following any incident or escalation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4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When circumstances change</w:t>
      </w:r>
    </w:p>
    <w:p w:rsidR="00000000" w:rsidDel="00000000" w:rsidP="00000000" w:rsidRDefault="00000000" w:rsidRPr="00000000" w14:paraId="0000001C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5. Areas of Risk to Consider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assessment must consider:</w:t>
      </w:r>
    </w:p>
    <w:p w:rsidR="00000000" w:rsidDel="00000000" w:rsidP="00000000" w:rsidRDefault="00000000" w:rsidRPr="00000000" w14:paraId="0000001E">
      <w:pPr>
        <w:pStyle w:val="Heading3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Emotional &amp; Behavioural Risk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5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Aggression (verbal/physical)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Self-harm or suicidal ideation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Absconding (leaving sessions unexpectedly)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5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Emotional dysregulation</w:t>
      </w:r>
    </w:p>
    <w:p w:rsidR="00000000" w:rsidDel="00000000" w:rsidP="00000000" w:rsidRDefault="00000000" w:rsidRPr="00000000" w14:paraId="00000023">
      <w:pPr>
        <w:pStyle w:val="Heading3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Environmental Risk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6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Home environment safety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6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Community risks (public spaces, travel)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6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Lone working considerations</w:t>
      </w:r>
    </w:p>
    <w:p w:rsidR="00000000" w:rsidDel="00000000" w:rsidP="00000000" w:rsidRDefault="00000000" w:rsidRPr="00000000" w14:paraId="00000027">
      <w:pPr>
        <w:pStyle w:val="Heading3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Learning &amp; Engagement Risk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7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Refusal to engage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7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Triggers linked to learning tasks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7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Sensory sensitivities</w:t>
      </w:r>
    </w:p>
    <w:p w:rsidR="00000000" w:rsidDel="00000000" w:rsidP="00000000" w:rsidRDefault="00000000" w:rsidRPr="00000000" w14:paraId="0000002B">
      <w:pPr>
        <w:pStyle w:val="Heading3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Safeguarding Risk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8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Known safeguarding concerns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8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Family or contextual risks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8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Peer influences</w:t>
      </w:r>
    </w:p>
    <w:p w:rsidR="00000000" w:rsidDel="00000000" w:rsidP="00000000" w:rsidRDefault="00000000" w:rsidRPr="00000000" w14:paraId="0000002F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6. Risk Levels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risk should be rated: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9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Low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– manageable with standard support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9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Medium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– requires targeted strategies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9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High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– requires enhanced planning and possible multi-agency involvement</w:t>
      </w:r>
    </w:p>
    <w:p w:rsidR="00000000" w:rsidDel="00000000" w:rsidP="00000000" w:rsidRDefault="00000000" w:rsidRPr="00000000" w14:paraId="00000034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7. Control Measures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each identified risk, clear strategies must be in place:</w:t>
      </w:r>
    </w:p>
    <w:p w:rsidR="00000000" w:rsidDel="00000000" w:rsidP="00000000" w:rsidRDefault="00000000" w:rsidRPr="00000000" w14:paraId="00000036">
      <w:pPr>
        <w:pStyle w:val="Heading3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Examples: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0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of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de-escalation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0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Clear session structure and boundaries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0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Safe exit strategies for staff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0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Reduced session duration if needed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0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Parent/carer presence where appropriate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0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Avoidance of known triggers</w:t>
      </w:r>
    </w:p>
    <w:p w:rsidR="00000000" w:rsidDel="00000000" w:rsidP="00000000" w:rsidRDefault="00000000" w:rsidRPr="00000000" w14:paraId="0000003D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8. Staff Responsibilities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staff must: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1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Read and understand risk assessments before working with a learner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Follow agreed strategies and control measures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Maintain professional boundaries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Record and report any incidents or concerns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1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Escalate risks to the Designated Safeguarding Lead (DSL) where necessary</w:t>
      </w:r>
    </w:p>
    <w:p w:rsidR="00000000" w:rsidDel="00000000" w:rsidP="00000000" w:rsidRDefault="00000000" w:rsidRPr="00000000" w14:paraId="00000044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9. Dynamic Risk Assessment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expected to continuously assess risk during sessions: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2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 aware of changes in behaviour or environment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2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Adapt approach as needed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2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Prioritise safety at all times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risk increases: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3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Pause or end the session if necessary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3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Follow safeguarding and escalation procedures</w:t>
      </w:r>
    </w:p>
    <w:p w:rsidR="00000000" w:rsidDel="00000000" w:rsidP="00000000" w:rsidRDefault="00000000" w:rsidRPr="00000000" w14:paraId="0000004C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10. Incident Reporting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incidents must be: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14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Recorded clearly and factually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14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Reported to management/DSL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14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Reviewed to update risk assessments</w:t>
      </w:r>
    </w:p>
    <w:p w:rsidR="00000000" w:rsidDel="00000000" w:rsidP="00000000" w:rsidRDefault="00000000" w:rsidRPr="00000000" w14:paraId="00000051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11. Multi-Agency Working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appropriate, we will work with: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5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Schools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15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Local authorities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15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Social care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5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Child and Adolescent Mental Health Services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risks are understood and managed effectively.</w:t>
      </w:r>
    </w:p>
    <w:p w:rsidR="00000000" w:rsidDel="00000000" w:rsidP="00000000" w:rsidRDefault="00000000" w:rsidRPr="00000000" w14:paraId="00000058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12. Review Process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 assessments must be reviewed: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6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Regularly (at least termly)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6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After any incident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6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When circumstances change</w:t>
      </w:r>
    </w:p>
    <w:p w:rsidR="00000000" w:rsidDel="00000000" w:rsidP="00000000" w:rsidRDefault="00000000" w:rsidRPr="00000000" w14:paraId="0000005D">
      <w:pPr>
        <w:pStyle w:val="Heading2"/>
        <w:spacing w:after="120" w:before="480" w:lineRule="auto"/>
        <w:rPr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1f1f1f"/>
          <w:rtl w:val="0"/>
        </w:rPr>
        <w:t xml:space="preserve">Policy Review Log:</w:t>
      </w:r>
      <w:r w:rsidDel="00000000" w:rsidR="00000000" w:rsidRPr="00000000">
        <w:rPr>
          <w:rtl w:val="0"/>
        </w:rPr>
      </w:r>
    </w:p>
    <w:tbl>
      <w:tblPr>
        <w:tblStyle w:val="Table1"/>
        <w:tblW w:w="8739.0" w:type="dxa"/>
        <w:jc w:val="left"/>
        <w:tblLayout w:type="fixed"/>
        <w:tblLook w:val="0400"/>
      </w:tblPr>
      <w:tblGrid>
        <w:gridCol w:w="3397"/>
        <w:gridCol w:w="3133"/>
        <w:gridCol w:w="2209"/>
        <w:tblGridChange w:id="0">
          <w:tblGrid>
            <w:gridCol w:w="3397"/>
            <w:gridCol w:w="3133"/>
            <w:gridCol w:w="2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Review Carried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Changes Made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Manager’s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Initial Draft Review.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Aldous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spacing w:after="120" w:before="0" w:line="275" w:lineRule="auto"/>
        <w:rPr>
          <w:rFonts w:ascii="Courier New" w:cs="Courier New" w:eastAsia="Courier New" w:hAnsi="Courier New"/>
          <w:color w:val="1f1f1f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jc w:val="center"/>
      <w:rPr/>
    </w:pPr>
    <w:r w:rsidDel="00000000" w:rsidR="00000000" w:rsidRPr="00000000">
      <w:rPr/>
      <w:drawing>
        <wp:inline distB="0" distT="0" distL="0" distR="0">
          <wp:extent cx="2324100" cy="1689100"/>
          <wp:effectExtent b="0" l="0" r="0" t="0"/>
          <wp:docPr descr="A logo with a person's head in a circle&#10;&#10;AI-generated content may be incorrect." id="1" name="image1.jpg"/>
          <a:graphic>
            <a:graphicData uri="http://schemas.openxmlformats.org/drawingml/2006/picture">
              <pic:pic>
                <pic:nvPicPr>
                  <pic:cNvPr descr="A logo with a person's head in a circle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4100" cy="168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